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F0E4" w14:textId="77777777" w:rsidR="00312A95" w:rsidRDefault="00000000">
      <w:pPr>
        <w:pBdr>
          <w:top w:val="nil"/>
          <w:left w:val="nil"/>
          <w:bottom w:val="nil"/>
          <w:right w:val="nil"/>
          <w:between w:val="nil"/>
        </w:pBdr>
        <w:spacing w:after="280" w:line="276" w:lineRule="auto"/>
        <w:ind w:right="140"/>
        <w:jc w:val="center"/>
        <w:rPr>
          <w:rFonts w:ascii="Cambria" w:eastAsia="Cambria" w:hAnsi="Cambria" w:cs="Cambria"/>
          <w:b/>
          <w:color w:val="262626"/>
          <w:sz w:val="40"/>
          <w:szCs w:val="40"/>
        </w:rPr>
      </w:pPr>
      <w:r>
        <w:rPr>
          <w:rFonts w:ascii="Cambria" w:eastAsia="Cambria" w:hAnsi="Cambria" w:cs="Cambria"/>
          <w:b/>
          <w:color w:val="262626"/>
          <w:sz w:val="40"/>
          <w:szCs w:val="40"/>
        </w:rPr>
        <w:t xml:space="preserve">Iveco Group se sumó a Banco Rojo, iniciativa global contra la violencia de género </w:t>
      </w:r>
    </w:p>
    <w:p w14:paraId="0C1240F5" w14:textId="77777777" w:rsidR="00312A95" w:rsidRDefault="00000000">
      <w:pPr>
        <w:pBdr>
          <w:top w:val="nil"/>
          <w:left w:val="nil"/>
          <w:bottom w:val="nil"/>
          <w:right w:val="nil"/>
          <w:between w:val="nil"/>
        </w:pBdr>
        <w:spacing w:before="280" w:after="280" w:line="360" w:lineRule="auto"/>
        <w:ind w:right="140"/>
        <w:jc w:val="center"/>
        <w:rPr>
          <w:rFonts w:ascii="Cambria" w:eastAsia="Cambria" w:hAnsi="Cambria" w:cs="Cambria"/>
          <w:i/>
          <w:color w:val="262626"/>
          <w:sz w:val="24"/>
          <w:szCs w:val="24"/>
        </w:rPr>
      </w:pPr>
      <w:r>
        <w:rPr>
          <w:rFonts w:ascii="Cambria" w:eastAsia="Cambria" w:hAnsi="Cambria" w:cs="Cambria"/>
          <w:i/>
          <w:color w:val="262626"/>
          <w:sz w:val="24"/>
          <w:szCs w:val="24"/>
        </w:rPr>
        <w:t xml:space="preserve">Conocida a nivel mundial como Red </w:t>
      </w:r>
      <w:proofErr w:type="spellStart"/>
      <w:r>
        <w:rPr>
          <w:rFonts w:ascii="Cambria" w:eastAsia="Cambria" w:hAnsi="Cambria" w:cs="Cambria"/>
          <w:i/>
          <w:color w:val="262626"/>
          <w:sz w:val="24"/>
          <w:szCs w:val="24"/>
        </w:rPr>
        <w:t>Bench</w:t>
      </w:r>
      <w:proofErr w:type="spellEnd"/>
      <w:r>
        <w:rPr>
          <w:rFonts w:ascii="Cambria" w:eastAsia="Cambria" w:hAnsi="Cambria" w:cs="Cambria"/>
          <w:i/>
          <w:color w:val="262626"/>
          <w:sz w:val="24"/>
          <w:szCs w:val="24"/>
        </w:rPr>
        <w:t>, la campaña busca visibilizar y problematizar sobre la violencia hacia las mujeres.</w:t>
      </w:r>
    </w:p>
    <w:p w14:paraId="3352C096" w14:textId="77777777" w:rsidR="00312A95" w:rsidRDefault="00000000">
      <w:pPr>
        <w:spacing w:before="280" w:after="280" w:line="276" w:lineRule="auto"/>
        <w:ind w:right="140"/>
        <w:jc w:val="both"/>
        <w:rPr>
          <w:rFonts w:ascii="Cambria" w:eastAsia="Cambria" w:hAnsi="Cambria" w:cs="Cambria"/>
          <w:color w:val="262626"/>
          <w:sz w:val="24"/>
          <w:szCs w:val="24"/>
        </w:rPr>
      </w:pPr>
      <w:r>
        <w:rPr>
          <w:rFonts w:ascii="Cambria" w:eastAsia="Cambria" w:hAnsi="Cambria" w:cs="Cambria"/>
          <w:color w:val="262626"/>
          <w:sz w:val="24"/>
          <w:szCs w:val="24"/>
        </w:rPr>
        <w:t xml:space="preserve">Iveco Group posee un firme compromiso por la promoción de una cultura de diversidad, equidad e inclusión. Por este motivo, la compañía participa de la campaña </w:t>
      </w:r>
      <w:r>
        <w:rPr>
          <w:rFonts w:ascii="Cambria" w:eastAsia="Cambria" w:hAnsi="Cambria" w:cs="Cambria"/>
          <w:i/>
          <w:color w:val="262626"/>
          <w:sz w:val="24"/>
          <w:szCs w:val="24"/>
        </w:rPr>
        <w:t>Banco Rojo</w:t>
      </w:r>
      <w:r>
        <w:rPr>
          <w:rFonts w:ascii="Cambria" w:eastAsia="Cambria" w:hAnsi="Cambria" w:cs="Cambria"/>
          <w:color w:val="262626"/>
          <w:sz w:val="24"/>
          <w:szCs w:val="24"/>
        </w:rPr>
        <w:t xml:space="preserve"> -o </w:t>
      </w:r>
      <w:r>
        <w:rPr>
          <w:rFonts w:ascii="Cambria" w:eastAsia="Cambria" w:hAnsi="Cambria" w:cs="Cambria"/>
          <w:i/>
          <w:color w:val="262626"/>
          <w:sz w:val="24"/>
          <w:szCs w:val="24"/>
        </w:rPr>
        <w:t xml:space="preserve">Red </w:t>
      </w:r>
      <w:proofErr w:type="spellStart"/>
      <w:r>
        <w:rPr>
          <w:rFonts w:ascii="Cambria" w:eastAsia="Cambria" w:hAnsi="Cambria" w:cs="Cambria"/>
          <w:i/>
          <w:color w:val="262626"/>
          <w:sz w:val="24"/>
          <w:szCs w:val="24"/>
        </w:rPr>
        <w:t>Bench</w:t>
      </w:r>
      <w:proofErr w:type="spellEnd"/>
      <w:r>
        <w:rPr>
          <w:rFonts w:ascii="Cambria" w:eastAsia="Cambria" w:hAnsi="Cambria" w:cs="Cambria"/>
          <w:i/>
          <w:color w:val="262626"/>
          <w:sz w:val="24"/>
          <w:szCs w:val="24"/>
        </w:rPr>
        <w:t>-,</w:t>
      </w:r>
      <w:r>
        <w:rPr>
          <w:rFonts w:ascii="Cambria" w:eastAsia="Cambria" w:hAnsi="Cambria" w:cs="Cambria"/>
          <w:color w:val="262626"/>
          <w:sz w:val="24"/>
          <w:szCs w:val="24"/>
        </w:rPr>
        <w:t xml:space="preserve"> a través de la instalación en todas sus fábricas del mundo, de este símbolo reconocido internacionalmente para crear conciencia sobre la prevención de la violencia contra las mujeres, una causa importante para la empresa. </w:t>
      </w:r>
    </w:p>
    <w:p w14:paraId="08B2FC35" w14:textId="77777777" w:rsidR="00312A95" w:rsidRDefault="00000000">
      <w:pPr>
        <w:spacing w:before="280" w:after="280" w:line="276" w:lineRule="auto"/>
        <w:ind w:right="140"/>
        <w:jc w:val="both"/>
        <w:rPr>
          <w:rFonts w:ascii="Cambria" w:eastAsia="Cambria" w:hAnsi="Cambria" w:cs="Cambria"/>
          <w:color w:val="262626"/>
          <w:sz w:val="24"/>
          <w:szCs w:val="24"/>
        </w:rPr>
      </w:pPr>
      <w:r>
        <w:rPr>
          <w:rFonts w:ascii="Cambria" w:eastAsia="Cambria" w:hAnsi="Cambria" w:cs="Cambria"/>
          <w:color w:val="262626"/>
          <w:sz w:val="24"/>
          <w:szCs w:val="24"/>
        </w:rPr>
        <w:t xml:space="preserve">Las fábricas de IVECO y FPT Industrial que Iveco Group posee en Córdoba, se hicieron eco de la acción y se sumaron a la iniciativa a través de un encuentro en el que participaron referentes de la compañía, trabajadores de las fábricas y que contó además con la presencia de Claudia Martínez, Ministra de la Mujer de la provincia de Córdoba.   </w:t>
      </w:r>
    </w:p>
    <w:p w14:paraId="55823C31" w14:textId="77777777" w:rsidR="00312A95" w:rsidRDefault="00000000">
      <w:pPr>
        <w:spacing w:before="280" w:after="280" w:line="276" w:lineRule="auto"/>
        <w:ind w:right="140"/>
        <w:jc w:val="center"/>
        <w:rPr>
          <w:rFonts w:ascii="Cambria" w:eastAsia="Cambria" w:hAnsi="Cambria" w:cs="Cambria"/>
          <w:color w:val="262626"/>
          <w:sz w:val="24"/>
          <w:szCs w:val="24"/>
        </w:rPr>
      </w:pPr>
      <w:r>
        <w:rPr>
          <w:rFonts w:ascii="Cambria" w:eastAsia="Cambria" w:hAnsi="Cambria" w:cs="Cambria"/>
          <w:noProof/>
          <w:color w:val="262626"/>
          <w:sz w:val="24"/>
          <w:szCs w:val="24"/>
        </w:rPr>
        <w:drawing>
          <wp:inline distT="114300" distB="114300" distL="114300" distR="114300" wp14:anchorId="6B290024" wp14:editId="1EF755FF">
            <wp:extent cx="4927918" cy="2772497"/>
            <wp:effectExtent l="0" t="0" r="0" b="0"/>
            <wp:docPr id="4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4927918" cy="2772497"/>
                    </a:xfrm>
                    <a:prstGeom prst="rect">
                      <a:avLst/>
                    </a:prstGeom>
                    <a:ln/>
                  </pic:spPr>
                </pic:pic>
              </a:graphicData>
            </a:graphic>
          </wp:inline>
        </w:drawing>
      </w:r>
    </w:p>
    <w:p w14:paraId="79E3289E" w14:textId="2FDDA1E8" w:rsidR="00F57C43" w:rsidRDefault="00F57C43">
      <w:pPr>
        <w:spacing w:before="280" w:after="280" w:line="276" w:lineRule="auto"/>
        <w:ind w:right="140"/>
        <w:jc w:val="both"/>
        <w:rPr>
          <w:rFonts w:ascii="Cambria" w:eastAsia="Cambria" w:hAnsi="Cambria" w:cs="Cambria"/>
          <w:color w:val="262626"/>
          <w:sz w:val="24"/>
          <w:szCs w:val="24"/>
        </w:rPr>
      </w:pPr>
      <w:r w:rsidRPr="00F57C43">
        <w:rPr>
          <w:rFonts w:ascii="Cambria" w:eastAsia="Cambria" w:hAnsi="Cambria" w:cs="Cambria"/>
          <w:color w:val="262626"/>
          <w:sz w:val="24"/>
          <w:szCs w:val="24"/>
        </w:rPr>
        <w:lastRenderedPageBreak/>
        <w:t xml:space="preserve">César </w:t>
      </w:r>
      <w:proofErr w:type="spellStart"/>
      <w:r w:rsidRPr="00F57C43">
        <w:rPr>
          <w:rFonts w:ascii="Cambria" w:eastAsia="Cambria" w:hAnsi="Cambria" w:cs="Cambria"/>
          <w:color w:val="262626"/>
          <w:sz w:val="24"/>
          <w:szCs w:val="24"/>
        </w:rPr>
        <w:t>Parpal</w:t>
      </w:r>
      <w:proofErr w:type="spellEnd"/>
      <w:r w:rsidRPr="00F57C43">
        <w:rPr>
          <w:rFonts w:ascii="Cambria" w:eastAsia="Cambria" w:hAnsi="Cambria" w:cs="Cambria"/>
          <w:color w:val="262626"/>
          <w:sz w:val="24"/>
          <w:szCs w:val="24"/>
        </w:rPr>
        <w:t>, HR Country de Iveco Group en Argentina, realizó la apertura del encuentro brindando algunas palabras</w:t>
      </w:r>
      <w:r w:rsidRPr="00F57C43">
        <w:rPr>
          <w:rFonts w:ascii="Cambria" w:eastAsia="Cambria" w:hAnsi="Cambria" w:cs="Cambria"/>
          <w:i/>
          <w:iCs/>
          <w:color w:val="262626"/>
          <w:sz w:val="24"/>
          <w:szCs w:val="24"/>
        </w:rPr>
        <w:t>. “Desde Iveco Group nos estamos sumando a esta iniciativa para que entre todas las personas, ayudemos a tener una sociedad sin violencia, más justa y más equitativa. Hoy como pueden ver, son muchas las mujeres presentes en esta acción, y si bien falta aún más, estamos en el camino correcto hacia la equidad de género en la compañía”</w:t>
      </w:r>
      <w:r>
        <w:rPr>
          <w:rFonts w:ascii="Cambria" w:eastAsia="Cambria" w:hAnsi="Cambria" w:cs="Cambria"/>
          <w:i/>
          <w:iCs/>
          <w:color w:val="262626"/>
          <w:sz w:val="24"/>
          <w:szCs w:val="24"/>
        </w:rPr>
        <w:t>.</w:t>
      </w:r>
      <w:r w:rsidRPr="00F57C43">
        <w:rPr>
          <w:rFonts w:ascii="Cambria" w:eastAsia="Cambria" w:hAnsi="Cambria" w:cs="Cambria"/>
          <w:color w:val="262626"/>
          <w:sz w:val="24"/>
          <w:szCs w:val="24"/>
        </w:rPr>
        <w:t xml:space="preserve"> </w:t>
      </w:r>
    </w:p>
    <w:p w14:paraId="5B9BD18B" w14:textId="1D6D782F" w:rsidR="00F85CC5" w:rsidRDefault="00000000">
      <w:pPr>
        <w:spacing w:before="280" w:after="280" w:line="276" w:lineRule="auto"/>
        <w:ind w:right="140"/>
        <w:jc w:val="both"/>
        <w:rPr>
          <w:rFonts w:ascii="Cambria" w:eastAsia="Cambria" w:hAnsi="Cambria" w:cs="Cambria"/>
          <w:i/>
          <w:color w:val="262626"/>
          <w:sz w:val="24"/>
          <w:szCs w:val="24"/>
        </w:rPr>
      </w:pPr>
      <w:r>
        <w:rPr>
          <w:rFonts w:ascii="Cambria" w:eastAsia="Cambria" w:hAnsi="Cambria" w:cs="Cambria"/>
          <w:color w:val="262626"/>
          <w:sz w:val="24"/>
          <w:szCs w:val="24"/>
        </w:rPr>
        <w:t xml:space="preserve">Por otro lado, Santos Doncel Jones, presidente de Iveco Group Argentina añadió que </w:t>
      </w:r>
      <w:r w:rsidR="00F85CC5" w:rsidRPr="00F85CC5">
        <w:rPr>
          <w:rFonts w:ascii="Cambria" w:eastAsia="Cambria" w:hAnsi="Cambria" w:cs="Cambria"/>
          <w:i/>
          <w:color w:val="262626"/>
          <w:sz w:val="24"/>
          <w:szCs w:val="24"/>
        </w:rPr>
        <w:t>“Como sociedad, creo que nuestro gran desafío es que algún día estas iniciativas no sean más necesarias. Es decir, que lleguemos a un punto en el que entendamos que todos debemos ser tratados de igual manera y que podamos finalmente vivir mejor, en una sociedad más abierta e inclusiva”</w:t>
      </w:r>
      <w:r w:rsidR="006E630F">
        <w:rPr>
          <w:rFonts w:ascii="Cambria" w:eastAsia="Cambria" w:hAnsi="Cambria" w:cs="Cambria"/>
          <w:i/>
          <w:color w:val="262626"/>
          <w:sz w:val="24"/>
          <w:szCs w:val="24"/>
        </w:rPr>
        <w:t>.</w:t>
      </w:r>
    </w:p>
    <w:p w14:paraId="47E48882" w14:textId="6CC2D631" w:rsidR="00216C68" w:rsidRDefault="00216C68" w:rsidP="00216C68">
      <w:pPr>
        <w:spacing w:before="280" w:after="280" w:line="276" w:lineRule="auto"/>
        <w:ind w:right="140"/>
        <w:jc w:val="center"/>
        <w:rPr>
          <w:rFonts w:ascii="Cambria" w:eastAsia="Cambria" w:hAnsi="Cambria" w:cs="Cambria"/>
          <w:i/>
          <w:color w:val="262626"/>
          <w:sz w:val="24"/>
          <w:szCs w:val="24"/>
        </w:rPr>
      </w:pPr>
      <w:r>
        <w:rPr>
          <w:noProof/>
        </w:rPr>
        <w:drawing>
          <wp:inline distT="0" distB="0" distL="0" distR="0" wp14:anchorId="1B2DE24B" wp14:editId="466199B9">
            <wp:extent cx="4905375" cy="275930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8173" cy="2760883"/>
                    </a:xfrm>
                    <a:prstGeom prst="rect">
                      <a:avLst/>
                    </a:prstGeom>
                    <a:noFill/>
                    <a:ln>
                      <a:noFill/>
                    </a:ln>
                  </pic:spPr>
                </pic:pic>
              </a:graphicData>
            </a:graphic>
          </wp:inline>
        </w:drawing>
      </w:r>
    </w:p>
    <w:p w14:paraId="443A1A32" w14:textId="7F0D9A47" w:rsidR="00312A95" w:rsidRDefault="00000000">
      <w:pPr>
        <w:spacing w:before="280" w:after="280" w:line="276" w:lineRule="auto"/>
        <w:ind w:right="140"/>
        <w:jc w:val="both"/>
        <w:rPr>
          <w:rFonts w:ascii="Cambria" w:eastAsia="Cambria" w:hAnsi="Cambria" w:cs="Cambria"/>
          <w:color w:val="262626"/>
          <w:sz w:val="24"/>
          <w:szCs w:val="24"/>
        </w:rPr>
      </w:pPr>
      <w:r>
        <w:rPr>
          <w:rFonts w:ascii="Cambria" w:eastAsia="Cambria" w:hAnsi="Cambria" w:cs="Cambria"/>
          <w:color w:val="262626"/>
          <w:sz w:val="24"/>
          <w:szCs w:val="24"/>
        </w:rPr>
        <w:t xml:space="preserve">La Ministra de la Mujer de la provincia de Córdoba, Claudia Martínez, agradeció la invitación y se refirió a la importancia de visibilizar esta temática proponiendo acciones que llamen a la reflexión. </w:t>
      </w:r>
    </w:p>
    <w:p w14:paraId="040BCB81" w14:textId="55F8B851" w:rsidR="00312A95" w:rsidRDefault="00000000">
      <w:pPr>
        <w:spacing w:before="280" w:after="280" w:line="276" w:lineRule="auto"/>
        <w:ind w:right="140"/>
        <w:jc w:val="both"/>
        <w:rPr>
          <w:rFonts w:ascii="Cambria" w:eastAsia="Cambria" w:hAnsi="Cambria" w:cs="Cambria"/>
          <w:color w:val="262626"/>
          <w:sz w:val="24"/>
          <w:szCs w:val="24"/>
        </w:rPr>
      </w:pPr>
      <w:r>
        <w:rPr>
          <w:rFonts w:ascii="Cambria" w:eastAsia="Cambria" w:hAnsi="Cambria" w:cs="Cambria"/>
          <w:i/>
          <w:color w:val="262626"/>
          <w:sz w:val="24"/>
          <w:szCs w:val="24"/>
        </w:rPr>
        <w:t>“Me siento muy emocionada como argentina, como cordobesa, de tener una empresa que nos representa como mujeres, como ciudadanos y ciudadan</w:t>
      </w:r>
      <w:r w:rsidR="005554F2">
        <w:rPr>
          <w:rFonts w:ascii="Cambria" w:eastAsia="Cambria" w:hAnsi="Cambria" w:cs="Cambria"/>
          <w:i/>
          <w:color w:val="262626"/>
          <w:sz w:val="24"/>
          <w:szCs w:val="24"/>
        </w:rPr>
        <w:t>a</w:t>
      </w:r>
      <w:r>
        <w:rPr>
          <w:rFonts w:ascii="Cambria" w:eastAsia="Cambria" w:hAnsi="Cambria" w:cs="Cambria"/>
          <w:i/>
          <w:color w:val="262626"/>
          <w:sz w:val="24"/>
          <w:szCs w:val="24"/>
        </w:rPr>
        <w:t xml:space="preserve">s en hacer lo correcto. Esta invitación a la reflexión desde la compañía me parece fundamental. ¿En qué puede cambiar un banco rojo en un mundo tan violento y tan desigual? En </w:t>
      </w:r>
      <w:r>
        <w:rPr>
          <w:rFonts w:ascii="Cambria" w:eastAsia="Cambria" w:hAnsi="Cambria" w:cs="Cambria"/>
          <w:i/>
          <w:color w:val="262626"/>
          <w:sz w:val="24"/>
          <w:szCs w:val="24"/>
        </w:rPr>
        <w:lastRenderedPageBreak/>
        <w:t>que esto de alguna manera, simboliza el compromiso asumido por la empresa en erradicar la violencia”</w:t>
      </w:r>
      <w:r>
        <w:rPr>
          <w:rFonts w:ascii="Cambria" w:eastAsia="Cambria" w:hAnsi="Cambria" w:cs="Cambria"/>
          <w:color w:val="262626"/>
          <w:sz w:val="24"/>
          <w:szCs w:val="24"/>
        </w:rPr>
        <w:t xml:space="preserve">, expresó. </w:t>
      </w:r>
    </w:p>
    <w:p w14:paraId="538AD773" w14:textId="77777777" w:rsidR="00312A95" w:rsidRDefault="00000000">
      <w:pPr>
        <w:spacing w:line="276" w:lineRule="auto"/>
        <w:ind w:right="140"/>
        <w:jc w:val="center"/>
        <w:rPr>
          <w:rFonts w:ascii="Cambria" w:eastAsia="Cambria" w:hAnsi="Cambria" w:cs="Cambria"/>
          <w:color w:val="262626"/>
          <w:sz w:val="24"/>
          <w:szCs w:val="24"/>
        </w:rPr>
      </w:pPr>
      <w:r>
        <w:rPr>
          <w:rFonts w:ascii="Cambria" w:eastAsia="Cambria" w:hAnsi="Cambria" w:cs="Cambria"/>
          <w:noProof/>
          <w:color w:val="262626"/>
          <w:sz w:val="24"/>
          <w:szCs w:val="24"/>
        </w:rPr>
        <w:drawing>
          <wp:inline distT="114300" distB="114300" distL="114300" distR="114300" wp14:anchorId="11AAE74A" wp14:editId="6477B894">
            <wp:extent cx="5099368" cy="2868956"/>
            <wp:effectExtent l="0" t="0" r="0" b="0"/>
            <wp:docPr id="3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5099368" cy="2868956"/>
                    </a:xfrm>
                    <a:prstGeom prst="rect">
                      <a:avLst/>
                    </a:prstGeom>
                    <a:ln/>
                  </pic:spPr>
                </pic:pic>
              </a:graphicData>
            </a:graphic>
          </wp:inline>
        </w:drawing>
      </w:r>
    </w:p>
    <w:p w14:paraId="10782A7A" w14:textId="77777777" w:rsidR="00312A95" w:rsidRDefault="00000000">
      <w:pPr>
        <w:spacing w:line="276" w:lineRule="auto"/>
        <w:ind w:right="140"/>
        <w:jc w:val="center"/>
        <w:rPr>
          <w:rFonts w:ascii="Cambria" w:eastAsia="Cambria" w:hAnsi="Cambria" w:cs="Cambria"/>
          <w:color w:val="262626"/>
          <w:sz w:val="24"/>
          <w:szCs w:val="24"/>
        </w:rPr>
      </w:pPr>
      <w:r>
        <w:rPr>
          <w:rFonts w:ascii="Cambria" w:eastAsia="Cambria" w:hAnsi="Cambria" w:cs="Cambria"/>
          <w:color w:val="262626"/>
          <w:sz w:val="16"/>
          <w:szCs w:val="16"/>
        </w:rPr>
        <w:t>Claudia Martínez se sumó a la pintada del Banco Rojo en Iveco Group.</w:t>
      </w:r>
    </w:p>
    <w:p w14:paraId="6D0239AC" w14:textId="77777777" w:rsidR="00312A95" w:rsidRDefault="00000000">
      <w:pPr>
        <w:spacing w:before="280" w:after="280" w:line="276" w:lineRule="auto"/>
        <w:ind w:right="140"/>
        <w:jc w:val="both"/>
        <w:rPr>
          <w:rFonts w:ascii="Cambria" w:eastAsia="Cambria" w:hAnsi="Cambria" w:cs="Cambria"/>
          <w:b/>
          <w:color w:val="262626"/>
          <w:sz w:val="24"/>
          <w:szCs w:val="24"/>
        </w:rPr>
      </w:pPr>
      <w:proofErr w:type="spellStart"/>
      <w:r>
        <w:rPr>
          <w:rFonts w:ascii="Cambria" w:eastAsia="Cambria" w:hAnsi="Cambria" w:cs="Cambria"/>
          <w:b/>
          <w:color w:val="262626"/>
          <w:sz w:val="24"/>
          <w:szCs w:val="24"/>
        </w:rPr>
        <w:t>Conocé</w:t>
      </w:r>
      <w:proofErr w:type="spellEnd"/>
      <w:r>
        <w:rPr>
          <w:rFonts w:ascii="Cambria" w:eastAsia="Cambria" w:hAnsi="Cambria" w:cs="Cambria"/>
          <w:b/>
          <w:color w:val="262626"/>
          <w:sz w:val="24"/>
          <w:szCs w:val="24"/>
        </w:rPr>
        <w:t xml:space="preserve"> más sobre la campaña</w:t>
      </w:r>
    </w:p>
    <w:p w14:paraId="096B73E6" w14:textId="7DDAF59F" w:rsidR="00312A95" w:rsidRDefault="00000000">
      <w:pPr>
        <w:spacing w:line="276" w:lineRule="auto"/>
        <w:ind w:right="140"/>
        <w:jc w:val="both"/>
        <w:rPr>
          <w:rFonts w:ascii="Cambria" w:eastAsia="Cambria" w:hAnsi="Cambria" w:cs="Cambria"/>
          <w:color w:val="262626"/>
          <w:sz w:val="24"/>
          <w:szCs w:val="24"/>
        </w:rPr>
      </w:pPr>
      <w:r>
        <w:rPr>
          <w:rFonts w:ascii="Cambria" w:eastAsia="Cambria" w:hAnsi="Cambria" w:cs="Cambria"/>
          <w:color w:val="262626"/>
          <w:sz w:val="24"/>
          <w:szCs w:val="24"/>
        </w:rPr>
        <w:t xml:space="preserve">Red </w:t>
      </w:r>
      <w:proofErr w:type="spellStart"/>
      <w:r>
        <w:rPr>
          <w:rFonts w:ascii="Cambria" w:eastAsia="Cambria" w:hAnsi="Cambria" w:cs="Cambria"/>
          <w:color w:val="262626"/>
          <w:sz w:val="24"/>
          <w:szCs w:val="24"/>
        </w:rPr>
        <w:t>Bench</w:t>
      </w:r>
      <w:proofErr w:type="spellEnd"/>
      <w:r>
        <w:rPr>
          <w:rFonts w:ascii="Cambria" w:eastAsia="Cambria" w:hAnsi="Cambria" w:cs="Cambria"/>
          <w:color w:val="262626"/>
          <w:sz w:val="24"/>
          <w:szCs w:val="24"/>
        </w:rPr>
        <w:t xml:space="preserve"> tiene </w:t>
      </w:r>
      <w:r w:rsidR="002D3D7B">
        <w:rPr>
          <w:rFonts w:ascii="Cambria" w:eastAsia="Cambria" w:hAnsi="Cambria" w:cs="Cambria"/>
          <w:color w:val="262626"/>
          <w:sz w:val="24"/>
          <w:szCs w:val="24"/>
        </w:rPr>
        <w:t>origen</w:t>
      </w:r>
      <w:r>
        <w:rPr>
          <w:rFonts w:ascii="Cambria" w:eastAsia="Cambria" w:hAnsi="Cambria" w:cs="Cambria"/>
          <w:color w:val="262626"/>
          <w:sz w:val="24"/>
          <w:szCs w:val="24"/>
        </w:rPr>
        <w:t xml:space="preserve"> en un proyecto de la artista mexicana Elina Chauvet llevado adelante luego del fallecimiento de su hermana por violencia de género. Elina creó el proyecto de arte “zapatos rojos” como un llamado para posicionarse contra la violencia de género, donde colocó centenas de zapatos rojos en las calles de México, cada uno representando la sangre de una víctima de femicidio.</w:t>
      </w:r>
    </w:p>
    <w:p w14:paraId="7A49EE22" w14:textId="77777777" w:rsidR="00312A95" w:rsidRDefault="00312A95">
      <w:pPr>
        <w:spacing w:line="276" w:lineRule="auto"/>
        <w:ind w:right="140"/>
        <w:jc w:val="both"/>
        <w:rPr>
          <w:rFonts w:ascii="Cambria" w:eastAsia="Cambria" w:hAnsi="Cambria" w:cs="Cambria"/>
          <w:color w:val="262626"/>
          <w:sz w:val="24"/>
          <w:szCs w:val="24"/>
        </w:rPr>
      </w:pPr>
    </w:p>
    <w:p w14:paraId="0141754F" w14:textId="77777777" w:rsidR="00312A95" w:rsidRDefault="00000000">
      <w:pPr>
        <w:spacing w:line="276" w:lineRule="auto"/>
        <w:ind w:right="140"/>
        <w:jc w:val="both"/>
        <w:rPr>
          <w:rFonts w:ascii="Cambria" w:eastAsia="Cambria" w:hAnsi="Cambria" w:cs="Cambria"/>
          <w:color w:val="262626"/>
          <w:sz w:val="24"/>
          <w:szCs w:val="24"/>
        </w:rPr>
      </w:pPr>
      <w:r>
        <w:rPr>
          <w:rFonts w:ascii="Cambria" w:eastAsia="Cambria" w:hAnsi="Cambria" w:cs="Cambria"/>
          <w:color w:val="262626"/>
          <w:sz w:val="24"/>
          <w:szCs w:val="24"/>
        </w:rPr>
        <w:t>El mensaje luego se expandió por el mundo y el color rojo pasó a ser asociado a la búsqueda de erradicación de la violencia contra las mujeres.</w:t>
      </w:r>
    </w:p>
    <w:p w14:paraId="473DFAFE" w14:textId="77777777" w:rsidR="00312A95" w:rsidRDefault="00000000">
      <w:pPr>
        <w:spacing w:before="280" w:after="280" w:line="276" w:lineRule="auto"/>
        <w:ind w:right="140"/>
        <w:jc w:val="both"/>
        <w:rPr>
          <w:rFonts w:ascii="Cambria" w:eastAsia="Cambria" w:hAnsi="Cambria" w:cs="Cambria"/>
          <w:b/>
          <w:color w:val="262626"/>
          <w:sz w:val="24"/>
          <w:szCs w:val="24"/>
        </w:rPr>
      </w:pPr>
      <w:r>
        <w:rPr>
          <w:rFonts w:ascii="Cambria" w:eastAsia="Cambria" w:hAnsi="Cambria" w:cs="Cambria"/>
          <w:b/>
          <w:color w:val="262626"/>
          <w:sz w:val="24"/>
          <w:szCs w:val="24"/>
        </w:rPr>
        <w:t xml:space="preserve">Rojos y sustentables </w:t>
      </w:r>
    </w:p>
    <w:p w14:paraId="2FD2AAF5" w14:textId="77777777" w:rsidR="00312A95" w:rsidRDefault="00000000">
      <w:pPr>
        <w:spacing w:before="280" w:after="280" w:line="276" w:lineRule="auto"/>
        <w:ind w:right="140"/>
        <w:jc w:val="both"/>
        <w:rPr>
          <w:rFonts w:ascii="Cambria" w:eastAsia="Cambria" w:hAnsi="Cambria" w:cs="Cambria"/>
          <w:color w:val="262626"/>
          <w:sz w:val="24"/>
          <w:szCs w:val="24"/>
        </w:rPr>
      </w:pPr>
      <w:r>
        <w:rPr>
          <w:rFonts w:ascii="Cambria" w:eastAsia="Cambria" w:hAnsi="Cambria" w:cs="Cambria"/>
          <w:color w:val="262626"/>
          <w:sz w:val="24"/>
          <w:szCs w:val="24"/>
        </w:rPr>
        <w:t>La campaña en Argentina tiene una particularidad: sus bancos fueron realizados íntegramente con materiales ecológicos. La madera plástica utilizada proviene de tapas de botellas de bebidas y otros materiales reciclables recolectados de los comedores de las plantas.</w:t>
      </w:r>
    </w:p>
    <w:p w14:paraId="3FF53F49" w14:textId="77777777" w:rsidR="00312A95" w:rsidRDefault="00000000">
      <w:pPr>
        <w:spacing w:before="280" w:after="280" w:line="276" w:lineRule="auto"/>
        <w:ind w:right="140"/>
        <w:jc w:val="both"/>
        <w:rPr>
          <w:rFonts w:ascii="Cambria" w:eastAsia="Cambria" w:hAnsi="Cambria" w:cs="Cambria"/>
          <w:color w:val="262626"/>
          <w:sz w:val="24"/>
          <w:szCs w:val="24"/>
        </w:rPr>
      </w:pPr>
      <w:r>
        <w:rPr>
          <w:rFonts w:ascii="Cambria" w:eastAsia="Cambria" w:hAnsi="Cambria" w:cs="Cambria"/>
          <w:color w:val="262626"/>
          <w:sz w:val="24"/>
          <w:szCs w:val="24"/>
        </w:rPr>
        <w:lastRenderedPageBreak/>
        <w:t xml:space="preserve">Reforzando su compromiso con la reducción de los impactos ambientales y sociales, Iveco Group trabaja en asociación con organizaciones y cooperativas como </w:t>
      </w:r>
      <w:proofErr w:type="spellStart"/>
      <w:r>
        <w:rPr>
          <w:rFonts w:ascii="Cambria" w:eastAsia="Cambria" w:hAnsi="Cambria" w:cs="Cambria"/>
          <w:color w:val="262626"/>
          <w:sz w:val="24"/>
          <w:szCs w:val="24"/>
        </w:rPr>
        <w:t>Ecoinclusión</w:t>
      </w:r>
      <w:proofErr w:type="spellEnd"/>
      <w:r>
        <w:rPr>
          <w:rFonts w:ascii="Cambria" w:eastAsia="Cambria" w:hAnsi="Cambria" w:cs="Cambria"/>
          <w:color w:val="262626"/>
          <w:sz w:val="24"/>
          <w:szCs w:val="24"/>
        </w:rPr>
        <w:t xml:space="preserve"> -dedicada al traslado y recolección de materiales de las fábricas- y </w:t>
      </w:r>
      <w:proofErr w:type="spellStart"/>
      <w:r>
        <w:rPr>
          <w:rFonts w:ascii="Cambria" w:eastAsia="Cambria" w:hAnsi="Cambria" w:cs="Cambria"/>
          <w:color w:val="262626"/>
          <w:sz w:val="24"/>
          <w:szCs w:val="24"/>
        </w:rPr>
        <w:t>Recicord</w:t>
      </w:r>
      <w:proofErr w:type="spellEnd"/>
      <w:r>
        <w:rPr>
          <w:rFonts w:ascii="Cambria" w:eastAsia="Cambria" w:hAnsi="Cambria" w:cs="Cambria"/>
          <w:color w:val="262626"/>
          <w:sz w:val="24"/>
          <w:szCs w:val="24"/>
        </w:rPr>
        <w:t xml:space="preserve"> -que realizan el producto final-. </w:t>
      </w:r>
    </w:p>
    <w:p w14:paraId="44FA1B01" w14:textId="2953268D" w:rsidR="00312A95" w:rsidRDefault="00000000" w:rsidP="00216C68">
      <w:pPr>
        <w:spacing w:before="280" w:after="280" w:line="276" w:lineRule="auto"/>
        <w:ind w:right="140"/>
        <w:jc w:val="center"/>
        <w:rPr>
          <w:rFonts w:ascii="Cambria" w:eastAsia="Cambria" w:hAnsi="Cambria" w:cs="Cambria"/>
          <w:color w:val="262626"/>
          <w:sz w:val="24"/>
          <w:szCs w:val="24"/>
        </w:rPr>
      </w:pPr>
      <w:r>
        <w:rPr>
          <w:rFonts w:ascii="Cambria" w:eastAsia="Cambria" w:hAnsi="Cambria" w:cs="Cambria"/>
          <w:noProof/>
          <w:color w:val="262626"/>
          <w:sz w:val="24"/>
          <w:szCs w:val="24"/>
        </w:rPr>
        <w:drawing>
          <wp:inline distT="114300" distB="114300" distL="114300" distR="114300" wp14:anchorId="5FF0F688" wp14:editId="3A2EA768">
            <wp:extent cx="4870768" cy="2740344"/>
            <wp:effectExtent l="0" t="0" r="0" b="0"/>
            <wp:docPr id="4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4870768" cy="2740344"/>
                    </a:xfrm>
                    <a:prstGeom prst="rect">
                      <a:avLst/>
                    </a:prstGeom>
                    <a:ln/>
                  </pic:spPr>
                </pic:pic>
              </a:graphicData>
            </a:graphic>
          </wp:inline>
        </w:drawing>
      </w:r>
    </w:p>
    <w:p w14:paraId="49EAD4E6" w14:textId="77777777" w:rsidR="00312A95" w:rsidRDefault="00000000">
      <w:pPr>
        <w:ind w:right="-40"/>
        <w:jc w:val="both"/>
        <w:rPr>
          <w:sz w:val="22"/>
          <w:szCs w:val="22"/>
        </w:rPr>
      </w:pPr>
      <w:r>
        <w:pict w14:anchorId="2AD91F1E">
          <v:rect id="_x0000_i1025" style="width:0;height:1.5pt" o:hralign="center" o:hrstd="t" o:hr="t" fillcolor="#a0a0a0" stroked="f"/>
        </w:pict>
      </w:r>
    </w:p>
    <w:p w14:paraId="50F645BC" w14:textId="77777777" w:rsidR="00312A95" w:rsidRDefault="00312A95">
      <w:pPr>
        <w:ind w:right="-40"/>
        <w:jc w:val="both"/>
        <w:rPr>
          <w:sz w:val="22"/>
          <w:szCs w:val="22"/>
        </w:rPr>
      </w:pPr>
    </w:p>
    <w:p w14:paraId="12DE1065" w14:textId="77777777" w:rsidR="00312A95" w:rsidRDefault="00000000">
      <w:pPr>
        <w:ind w:right="-40"/>
        <w:jc w:val="both"/>
        <w:rPr>
          <w:rFonts w:ascii="Georgia" w:eastAsia="Georgia" w:hAnsi="Georgia" w:cs="Georgia"/>
          <w:sz w:val="16"/>
          <w:szCs w:val="16"/>
        </w:rPr>
      </w:pPr>
      <w:r>
        <w:rPr>
          <w:rFonts w:ascii="Georgia" w:eastAsia="Georgia" w:hAnsi="Georgia" w:cs="Georgia"/>
          <w:b/>
          <w:sz w:val="16"/>
          <w:szCs w:val="16"/>
        </w:rPr>
        <w:t>Acerca de Iveco Group</w:t>
      </w:r>
    </w:p>
    <w:p w14:paraId="6C27B706" w14:textId="77777777" w:rsidR="00312A95" w:rsidRDefault="00312A95">
      <w:pPr>
        <w:ind w:right="-40"/>
        <w:jc w:val="both"/>
        <w:rPr>
          <w:rFonts w:ascii="Georgia" w:eastAsia="Georgia" w:hAnsi="Georgia" w:cs="Georgia"/>
          <w:sz w:val="16"/>
          <w:szCs w:val="16"/>
        </w:rPr>
      </w:pPr>
    </w:p>
    <w:p w14:paraId="4AA55432" w14:textId="0B493198" w:rsidR="00312A95" w:rsidRDefault="00000000">
      <w:pPr>
        <w:ind w:right="-40"/>
        <w:jc w:val="both"/>
        <w:rPr>
          <w:rFonts w:ascii="Georgia" w:eastAsia="Georgia" w:hAnsi="Georgia" w:cs="Georgia"/>
          <w:sz w:val="16"/>
          <w:szCs w:val="16"/>
        </w:rPr>
      </w:pPr>
      <w:r>
        <w:rPr>
          <w:rFonts w:ascii="Georgia" w:eastAsia="Georgia" w:hAnsi="Georgia" w:cs="Georgia"/>
          <w:sz w:val="16"/>
          <w:szCs w:val="16"/>
        </w:rPr>
        <w:t xml:space="preserve">Iveco Group NV (MI: IVG) es un líder automotriz mundial activo en vehículos comerciales y especiales, tren motriz y servicios financieros relacionados. Cada una de sus ocho marcas es una fuerza importante en su negocio específico: IVECO, pionera en vehículos comerciales, diseña, fabrica y comercializa camiones pesados, medianos y livianos; FPT Industrial, líder mundial en una amplia gama de tecnologías avanzadas de tren motriz en los sectores de agricultura, construcción, marina, generación de energía y vehículos comerciales; IVECO BUS y HEULIEZ, marcas de autobuses para transporte colectivo y premium de pasajeros; Iveco </w:t>
      </w:r>
      <w:proofErr w:type="spellStart"/>
      <w:r>
        <w:rPr>
          <w:rFonts w:ascii="Georgia" w:eastAsia="Georgia" w:hAnsi="Georgia" w:cs="Georgia"/>
          <w:sz w:val="16"/>
          <w:szCs w:val="16"/>
        </w:rPr>
        <w:t>Defence</w:t>
      </w:r>
      <w:proofErr w:type="spellEnd"/>
      <w:r>
        <w:rPr>
          <w:rFonts w:ascii="Georgia" w:eastAsia="Georgia" w:hAnsi="Georgia" w:cs="Georgia"/>
          <w:sz w:val="16"/>
          <w:szCs w:val="16"/>
        </w:rPr>
        <w:t xml:space="preserve"> </w:t>
      </w:r>
      <w:proofErr w:type="spellStart"/>
      <w:r>
        <w:rPr>
          <w:rFonts w:ascii="Georgia" w:eastAsia="Georgia" w:hAnsi="Georgia" w:cs="Georgia"/>
          <w:sz w:val="16"/>
          <w:szCs w:val="16"/>
        </w:rPr>
        <w:t>Vehicles</w:t>
      </w:r>
      <w:proofErr w:type="spellEnd"/>
      <w:r>
        <w:rPr>
          <w:rFonts w:ascii="Georgia" w:eastAsia="Georgia" w:hAnsi="Georgia" w:cs="Georgia"/>
          <w:sz w:val="16"/>
          <w:szCs w:val="16"/>
        </w:rPr>
        <w:t xml:space="preserve"> para vehículos de defensa y protección civil altamente especializados; ASTRA, líder en vehículos pesados ​​para minería y construcción a gran escala; </w:t>
      </w:r>
      <w:proofErr w:type="spellStart"/>
      <w:r>
        <w:rPr>
          <w:rFonts w:ascii="Georgia" w:eastAsia="Georgia" w:hAnsi="Georgia" w:cs="Georgia"/>
          <w:sz w:val="16"/>
          <w:szCs w:val="16"/>
        </w:rPr>
        <w:t>Magirus</w:t>
      </w:r>
      <w:proofErr w:type="spellEnd"/>
      <w:r>
        <w:rPr>
          <w:rFonts w:ascii="Georgia" w:eastAsia="Georgia" w:hAnsi="Georgia" w:cs="Georgia"/>
          <w:sz w:val="16"/>
          <w:szCs w:val="16"/>
        </w:rPr>
        <w:t>, fabricante de vehículos y equipos contra incendios de renombre internacional en el segmento; e IVECO CAPITAL, el brazo financiero que apoya las marcas del grupo. Iveco</w:t>
      </w:r>
      <w:r w:rsidR="004F7D64">
        <w:rPr>
          <w:rFonts w:ascii="Georgia" w:eastAsia="Georgia" w:hAnsi="Georgia" w:cs="Georgia"/>
          <w:sz w:val="16"/>
          <w:szCs w:val="16"/>
        </w:rPr>
        <w:t xml:space="preserve"> Group</w:t>
      </w:r>
      <w:r>
        <w:rPr>
          <w:rFonts w:ascii="Georgia" w:eastAsia="Georgia" w:hAnsi="Georgia" w:cs="Georgia"/>
          <w:sz w:val="16"/>
          <w:szCs w:val="16"/>
        </w:rPr>
        <w:t xml:space="preserve"> emplea aproximadamente a 34.000 personas en todo el mundo y cuenta con 29 fábricas y 31 centros de investigación y desarrollo. En Sudamérica, estamos presentes en Brasil (en el Estado de Minas Gerais) y en Argentina (en Córdoba), donde contamos con aproximadamente 4 mil empleados.</w:t>
      </w:r>
    </w:p>
    <w:p w14:paraId="439BD51C" w14:textId="77777777" w:rsidR="00312A95" w:rsidRDefault="00312A95">
      <w:pPr>
        <w:ind w:right="-40"/>
        <w:jc w:val="both"/>
        <w:rPr>
          <w:rFonts w:ascii="Georgia" w:eastAsia="Georgia" w:hAnsi="Georgia" w:cs="Georgia"/>
          <w:sz w:val="16"/>
          <w:szCs w:val="16"/>
        </w:rPr>
      </w:pPr>
    </w:p>
    <w:p w14:paraId="4C4B6FEF" w14:textId="77777777" w:rsidR="00312A95" w:rsidRDefault="00000000">
      <w:pPr>
        <w:ind w:right="-40"/>
        <w:jc w:val="both"/>
        <w:rPr>
          <w:rFonts w:ascii="Georgia" w:eastAsia="Georgia" w:hAnsi="Georgia" w:cs="Georgia"/>
          <w:sz w:val="16"/>
          <w:szCs w:val="16"/>
        </w:rPr>
      </w:pPr>
      <w:r>
        <w:rPr>
          <w:rFonts w:ascii="Georgia" w:eastAsia="Georgia" w:hAnsi="Georgia" w:cs="Georgia"/>
          <w:sz w:val="16"/>
          <w:szCs w:val="16"/>
        </w:rPr>
        <w:t xml:space="preserve">Para más información sobre Iveco Group: </w:t>
      </w:r>
      <w:hyperlink r:id="rId11">
        <w:r>
          <w:rPr>
            <w:rFonts w:ascii="Georgia" w:eastAsia="Georgia" w:hAnsi="Georgia" w:cs="Georgia"/>
            <w:color w:val="0563C1"/>
            <w:sz w:val="16"/>
            <w:szCs w:val="16"/>
            <w:u w:val="single"/>
          </w:rPr>
          <w:t>www.ivecogroup.com</w:t>
        </w:r>
      </w:hyperlink>
      <w:r>
        <w:rPr>
          <w:rFonts w:ascii="Georgia" w:eastAsia="Georgia" w:hAnsi="Georgia" w:cs="Georgia"/>
          <w:sz w:val="16"/>
          <w:szCs w:val="16"/>
        </w:rPr>
        <w:t>.</w:t>
      </w:r>
    </w:p>
    <w:p w14:paraId="0511F8B9" w14:textId="77777777" w:rsidR="00312A95" w:rsidRDefault="00312A95">
      <w:pPr>
        <w:ind w:right="-40"/>
        <w:jc w:val="both"/>
        <w:rPr>
          <w:rFonts w:ascii="Georgia" w:eastAsia="Georgia" w:hAnsi="Georgia" w:cs="Georgia"/>
          <w:sz w:val="16"/>
          <w:szCs w:val="16"/>
        </w:rPr>
      </w:pPr>
    </w:p>
    <w:p w14:paraId="1D7F7CF8" w14:textId="77777777" w:rsidR="00312A95" w:rsidRDefault="00000000">
      <w:pPr>
        <w:ind w:right="-40"/>
        <w:jc w:val="both"/>
        <w:rPr>
          <w:rFonts w:ascii="Georgia" w:eastAsia="Georgia" w:hAnsi="Georgia" w:cs="Georgia"/>
          <w:sz w:val="16"/>
          <w:szCs w:val="16"/>
        </w:rPr>
      </w:pPr>
      <w:r>
        <w:rPr>
          <w:rFonts w:ascii="Georgia" w:eastAsia="Georgia" w:hAnsi="Georgia" w:cs="Georgia"/>
          <w:b/>
          <w:sz w:val="16"/>
          <w:szCs w:val="16"/>
        </w:rPr>
        <w:t>Asesora de prensa</w:t>
      </w:r>
    </w:p>
    <w:p w14:paraId="3EE9EC91" w14:textId="77777777" w:rsidR="00312A95" w:rsidRDefault="00000000">
      <w:pPr>
        <w:ind w:right="-40"/>
        <w:jc w:val="both"/>
        <w:rPr>
          <w:rFonts w:ascii="Georgia" w:eastAsia="Georgia" w:hAnsi="Georgia" w:cs="Georgia"/>
          <w:sz w:val="16"/>
          <w:szCs w:val="16"/>
        </w:rPr>
      </w:pPr>
      <w:r>
        <w:rPr>
          <w:rFonts w:ascii="Georgia" w:eastAsia="Georgia" w:hAnsi="Georgia" w:cs="Georgia"/>
          <w:sz w:val="16"/>
          <w:szCs w:val="16"/>
        </w:rPr>
        <w:t>Melina Levy – mlevy@pg1.com.ar</w:t>
      </w:r>
    </w:p>
    <w:p w14:paraId="2F25528A" w14:textId="77777777" w:rsidR="00312A95" w:rsidRDefault="00000000">
      <w:pPr>
        <w:ind w:right="-40"/>
        <w:jc w:val="both"/>
        <w:rPr>
          <w:rFonts w:ascii="Georgia" w:eastAsia="Georgia" w:hAnsi="Georgia" w:cs="Georgia"/>
          <w:sz w:val="16"/>
          <w:szCs w:val="16"/>
        </w:rPr>
      </w:pPr>
      <w:r>
        <w:rPr>
          <w:rFonts w:ascii="Georgia" w:eastAsia="Georgia" w:hAnsi="Georgia" w:cs="Georgia"/>
          <w:sz w:val="16"/>
          <w:szCs w:val="16"/>
        </w:rPr>
        <w:t>(+54 9) 351761-9018</w:t>
      </w:r>
    </w:p>
    <w:p w14:paraId="45DC4622" w14:textId="77777777" w:rsidR="00312A95" w:rsidRDefault="00312A95">
      <w:pPr>
        <w:ind w:right="-40"/>
        <w:jc w:val="both"/>
        <w:rPr>
          <w:rFonts w:ascii="Georgia" w:eastAsia="Georgia" w:hAnsi="Georgia" w:cs="Georgia"/>
          <w:sz w:val="16"/>
          <w:szCs w:val="16"/>
        </w:rPr>
      </w:pPr>
    </w:p>
    <w:p w14:paraId="2E7B6390" w14:textId="77777777" w:rsidR="00312A95" w:rsidRDefault="00000000">
      <w:pPr>
        <w:ind w:right="-40"/>
        <w:jc w:val="both"/>
        <w:rPr>
          <w:rFonts w:ascii="Georgia" w:eastAsia="Georgia" w:hAnsi="Georgia" w:cs="Georgia"/>
          <w:sz w:val="16"/>
          <w:szCs w:val="16"/>
        </w:rPr>
      </w:pPr>
      <w:r>
        <w:rPr>
          <w:rFonts w:ascii="Georgia" w:eastAsia="Georgia" w:hAnsi="Georgia" w:cs="Georgia"/>
          <w:b/>
          <w:sz w:val="16"/>
          <w:szCs w:val="16"/>
        </w:rPr>
        <w:t xml:space="preserve">Head de </w:t>
      </w:r>
      <w:proofErr w:type="spellStart"/>
      <w:r>
        <w:rPr>
          <w:rFonts w:ascii="Georgia" w:eastAsia="Georgia" w:hAnsi="Georgia" w:cs="Georgia"/>
          <w:b/>
          <w:sz w:val="16"/>
          <w:szCs w:val="16"/>
        </w:rPr>
        <w:t>Comunicação</w:t>
      </w:r>
      <w:proofErr w:type="spellEnd"/>
      <w:r>
        <w:rPr>
          <w:rFonts w:ascii="Georgia" w:eastAsia="Georgia" w:hAnsi="Georgia" w:cs="Georgia"/>
          <w:b/>
          <w:sz w:val="16"/>
          <w:szCs w:val="16"/>
        </w:rPr>
        <w:t xml:space="preserve"> Corporativa – Iveco Group</w:t>
      </w:r>
    </w:p>
    <w:p w14:paraId="4EA763A7" w14:textId="77777777" w:rsidR="00312A95" w:rsidRPr="005356C3" w:rsidRDefault="00000000">
      <w:pPr>
        <w:ind w:right="-40"/>
        <w:jc w:val="both"/>
        <w:rPr>
          <w:rFonts w:ascii="Georgia" w:eastAsia="Georgia" w:hAnsi="Georgia" w:cs="Georgia"/>
          <w:sz w:val="16"/>
          <w:szCs w:val="16"/>
          <w:lang w:val="en-US"/>
        </w:rPr>
      </w:pPr>
      <w:r w:rsidRPr="005356C3">
        <w:rPr>
          <w:rFonts w:ascii="Georgia" w:eastAsia="Georgia" w:hAnsi="Georgia" w:cs="Georgia"/>
          <w:sz w:val="16"/>
          <w:szCs w:val="16"/>
          <w:lang w:val="en-US"/>
        </w:rPr>
        <w:t xml:space="preserve">Jorge </w:t>
      </w:r>
      <w:proofErr w:type="spellStart"/>
      <w:r w:rsidRPr="005356C3">
        <w:rPr>
          <w:rFonts w:ascii="Georgia" w:eastAsia="Georgia" w:hAnsi="Georgia" w:cs="Georgia"/>
          <w:sz w:val="16"/>
          <w:szCs w:val="16"/>
          <w:lang w:val="en-US"/>
        </w:rPr>
        <w:t>Görgen</w:t>
      </w:r>
      <w:proofErr w:type="spellEnd"/>
      <w:r w:rsidRPr="005356C3">
        <w:rPr>
          <w:rFonts w:ascii="Georgia" w:eastAsia="Georgia" w:hAnsi="Georgia" w:cs="Georgia"/>
          <w:sz w:val="16"/>
          <w:szCs w:val="16"/>
          <w:lang w:val="en-US"/>
        </w:rPr>
        <w:t xml:space="preserve"> – jorge.gorgen@ivecogroup.com</w:t>
      </w:r>
    </w:p>
    <w:p w14:paraId="06A6DD6E" w14:textId="77777777" w:rsidR="00312A95" w:rsidRDefault="00000000">
      <w:pPr>
        <w:ind w:right="-40"/>
        <w:jc w:val="both"/>
        <w:rPr>
          <w:rFonts w:ascii="Georgia" w:eastAsia="Georgia" w:hAnsi="Georgia" w:cs="Georgia"/>
          <w:sz w:val="16"/>
          <w:szCs w:val="16"/>
        </w:rPr>
      </w:pPr>
      <w:r>
        <w:rPr>
          <w:rFonts w:ascii="Georgia" w:eastAsia="Georgia" w:hAnsi="Georgia" w:cs="Georgia"/>
          <w:sz w:val="16"/>
          <w:szCs w:val="16"/>
        </w:rPr>
        <w:t>(+55 11) 983368241</w:t>
      </w:r>
    </w:p>
    <w:p w14:paraId="5FFF95F7" w14:textId="77777777" w:rsidR="00312A95" w:rsidRDefault="00312A95">
      <w:pPr>
        <w:pBdr>
          <w:top w:val="nil"/>
          <w:left w:val="nil"/>
          <w:bottom w:val="nil"/>
          <w:right w:val="nil"/>
          <w:between w:val="nil"/>
        </w:pBdr>
        <w:jc w:val="both"/>
        <w:rPr>
          <w:i/>
          <w:sz w:val="16"/>
          <w:szCs w:val="16"/>
        </w:rPr>
      </w:pPr>
    </w:p>
    <w:sectPr w:rsidR="00312A95">
      <w:headerReference w:type="default" r:id="rId12"/>
      <w:footerReference w:type="default" r:id="rId13"/>
      <w:headerReference w:type="first" r:id="rId14"/>
      <w:footerReference w:type="first" r:id="rId15"/>
      <w:pgSz w:w="11906" w:h="16838"/>
      <w:pgMar w:top="1842" w:right="851" w:bottom="2608" w:left="2552"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D16D" w14:textId="77777777" w:rsidR="00642805" w:rsidRDefault="00642805">
      <w:r>
        <w:separator/>
      </w:r>
    </w:p>
  </w:endnote>
  <w:endnote w:type="continuationSeparator" w:id="0">
    <w:p w14:paraId="06C796B7" w14:textId="77777777" w:rsidR="00642805" w:rsidRDefault="0064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58AC" w14:textId="77777777" w:rsidR="00312A95" w:rsidRDefault="00312A95">
    <w:pPr>
      <w:pBdr>
        <w:top w:val="nil"/>
        <w:left w:val="nil"/>
        <w:bottom w:val="nil"/>
        <w:right w:val="nil"/>
        <w:between w:val="nil"/>
      </w:pBdr>
      <w:rPr>
        <w:color w:val="000000"/>
      </w:rPr>
    </w:pPr>
  </w:p>
  <w:p w14:paraId="6FA29553" w14:textId="77777777" w:rsidR="00312A95" w:rsidRDefault="00000000">
    <w:pPr>
      <w:spacing w:line="276" w:lineRule="auto"/>
      <w:ind w:left="-566"/>
      <w:jc w:val="center"/>
      <w:rPr>
        <w:color w:val="000000"/>
      </w:rPr>
    </w:pPr>
    <w:r>
      <w:rPr>
        <w:noProof/>
        <w:sz w:val="22"/>
        <w:szCs w:val="22"/>
      </w:rPr>
      <w:drawing>
        <wp:inline distT="114300" distB="114300" distL="114300" distR="114300" wp14:anchorId="4BBB13D0" wp14:editId="62F3DD6A">
          <wp:extent cx="5399095" cy="177800"/>
          <wp:effectExtent l="0" t="0" r="0" b="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095" cy="177800"/>
                  </a:xfrm>
                  <a:prstGeom prst="rect">
                    <a:avLst/>
                  </a:prstGeom>
                  <a:ln/>
                </pic:spPr>
              </pic:pic>
            </a:graphicData>
          </a:graphic>
        </wp:inline>
      </w:drawing>
    </w:r>
  </w:p>
  <w:p w14:paraId="4B477EFF" w14:textId="77777777" w:rsidR="00312A95" w:rsidRDefault="00312A95">
    <w:pPr>
      <w:pBdr>
        <w:top w:val="nil"/>
        <w:left w:val="nil"/>
        <w:bottom w:val="nil"/>
        <w:right w:val="nil"/>
        <w:between w:val="nil"/>
      </w:pBdr>
      <w:rPr>
        <w:color w:val="000000"/>
      </w:rPr>
    </w:pPr>
  </w:p>
  <w:p w14:paraId="10DFE191" w14:textId="77777777" w:rsidR="00312A95" w:rsidRDefault="00312A95">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BFA7" w14:textId="77777777" w:rsidR="00312A95" w:rsidRDefault="00312A95">
    <w:pPr>
      <w:pBdr>
        <w:top w:val="nil"/>
        <w:left w:val="nil"/>
        <w:bottom w:val="nil"/>
        <w:right w:val="nil"/>
        <w:between w:val="nil"/>
      </w:pBdr>
      <w:rPr>
        <w:color w:val="00000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7F941" w14:textId="77777777" w:rsidR="00642805" w:rsidRDefault="00642805">
      <w:r>
        <w:separator/>
      </w:r>
    </w:p>
  </w:footnote>
  <w:footnote w:type="continuationSeparator" w:id="0">
    <w:p w14:paraId="3B3DE61E" w14:textId="77777777" w:rsidR="00642805" w:rsidRDefault="00642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8034" w14:textId="77777777" w:rsidR="00312A95" w:rsidRDefault="00000000">
    <w:pPr>
      <w:tabs>
        <w:tab w:val="left" w:pos="2020"/>
      </w:tabs>
      <w:ind w:left="-1275"/>
      <w:rPr>
        <w:color w:val="000000"/>
      </w:rPr>
    </w:pPr>
    <w:r>
      <w:rPr>
        <w:rFonts w:ascii="Calibri" w:eastAsia="Calibri" w:hAnsi="Calibri" w:cs="Calibri"/>
        <w:noProof/>
        <w:sz w:val="24"/>
        <w:szCs w:val="24"/>
      </w:rPr>
      <w:drawing>
        <wp:inline distT="114300" distB="114300" distL="114300" distR="114300" wp14:anchorId="393B29A7" wp14:editId="2DB9CB5A">
          <wp:extent cx="3203893" cy="1446633"/>
          <wp:effectExtent l="0" t="0" r="0" b="0"/>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203893" cy="144663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3C7A" w14:textId="77777777" w:rsidR="00312A95" w:rsidRDefault="00312A95">
    <w:pPr>
      <w:widowControl w:val="0"/>
      <w:pBdr>
        <w:top w:val="nil"/>
        <w:left w:val="nil"/>
        <w:bottom w:val="nil"/>
        <w:right w:val="nil"/>
        <w:between w:val="nil"/>
      </w:pBdr>
      <w:spacing w:line="276" w:lineRule="auto"/>
      <w:rPr>
        <w:color w:val="000000"/>
      </w:rPr>
    </w:pPr>
  </w:p>
  <w:tbl>
    <w:tblPr>
      <w:tblStyle w:val="ab"/>
      <w:tblW w:w="8809" w:type="dxa"/>
      <w:tblInd w:w="0" w:type="dxa"/>
      <w:tblLayout w:type="fixed"/>
      <w:tblLook w:val="0000" w:firstRow="0" w:lastRow="0" w:firstColumn="0" w:lastColumn="0" w:noHBand="0" w:noVBand="0"/>
    </w:tblPr>
    <w:tblGrid>
      <w:gridCol w:w="2614"/>
      <w:gridCol w:w="2835"/>
      <w:gridCol w:w="3360"/>
    </w:tblGrid>
    <w:tr w:rsidR="00312A95" w14:paraId="6EE8CAFB" w14:textId="77777777">
      <w:trPr>
        <w:cantSplit/>
        <w:trHeight w:val="735"/>
        <w:tblHeader/>
      </w:trPr>
      <w:tc>
        <w:tcPr>
          <w:tcW w:w="2614" w:type="dxa"/>
        </w:tcPr>
        <w:p w14:paraId="70C81A11" w14:textId="77777777" w:rsidR="00312A95" w:rsidRDefault="00312A95">
          <w:pPr>
            <w:pBdr>
              <w:top w:val="nil"/>
              <w:left w:val="nil"/>
              <w:bottom w:val="nil"/>
              <w:right w:val="nil"/>
              <w:between w:val="nil"/>
            </w:pBdr>
            <w:ind w:right="-101"/>
            <w:rPr>
              <w:color w:val="000000"/>
              <w:sz w:val="14"/>
              <w:szCs w:val="14"/>
            </w:rPr>
          </w:pPr>
        </w:p>
      </w:tc>
      <w:tc>
        <w:tcPr>
          <w:tcW w:w="2835" w:type="dxa"/>
        </w:tcPr>
        <w:p w14:paraId="479CE0DB" w14:textId="77777777" w:rsidR="00312A95" w:rsidRDefault="00312A95">
          <w:pPr>
            <w:pBdr>
              <w:top w:val="nil"/>
              <w:left w:val="nil"/>
              <w:bottom w:val="nil"/>
              <w:right w:val="nil"/>
              <w:between w:val="nil"/>
            </w:pBdr>
            <w:ind w:right="-101"/>
            <w:rPr>
              <w:color w:val="000000"/>
              <w:sz w:val="14"/>
              <w:szCs w:val="14"/>
            </w:rPr>
          </w:pPr>
        </w:p>
      </w:tc>
      <w:tc>
        <w:tcPr>
          <w:tcW w:w="3360" w:type="dxa"/>
        </w:tcPr>
        <w:p w14:paraId="686B13F0" w14:textId="77777777" w:rsidR="00312A95" w:rsidRDefault="00312A95">
          <w:pPr>
            <w:pBdr>
              <w:top w:val="nil"/>
              <w:left w:val="nil"/>
              <w:bottom w:val="nil"/>
              <w:right w:val="nil"/>
              <w:between w:val="nil"/>
            </w:pBdr>
            <w:ind w:right="-101"/>
            <w:rPr>
              <w:color w:val="000000"/>
              <w:sz w:val="14"/>
              <w:szCs w:val="14"/>
            </w:rPr>
          </w:pPr>
        </w:p>
      </w:tc>
    </w:tr>
  </w:tbl>
  <w:p w14:paraId="73BFF57E" w14:textId="77777777" w:rsidR="00312A95" w:rsidRDefault="00312A95">
    <w:pPr>
      <w:pBdr>
        <w:top w:val="nil"/>
        <w:left w:val="nil"/>
        <w:bottom w:val="nil"/>
        <w:right w:val="nil"/>
        <w:between w:val="nil"/>
      </w:pBdr>
      <w:rPr>
        <w:color w:val="000000"/>
      </w:rPr>
    </w:pPr>
  </w:p>
  <w:tbl>
    <w:tblPr>
      <w:tblStyle w:val="ac"/>
      <w:tblW w:w="606" w:type="dxa"/>
      <w:tblInd w:w="0" w:type="dxa"/>
      <w:tblLayout w:type="fixed"/>
      <w:tblLook w:val="0000" w:firstRow="0" w:lastRow="0" w:firstColumn="0" w:lastColumn="0" w:noHBand="0" w:noVBand="0"/>
    </w:tblPr>
    <w:tblGrid>
      <w:gridCol w:w="606"/>
    </w:tblGrid>
    <w:tr w:rsidR="00312A95" w14:paraId="14B16EFC" w14:textId="77777777">
      <w:trPr>
        <w:cantSplit/>
        <w:trHeight w:val="5211"/>
        <w:tblHeader/>
      </w:trPr>
      <w:tc>
        <w:tcPr>
          <w:tcW w:w="606" w:type="dxa"/>
        </w:tcPr>
        <w:p w14:paraId="2639DBC9" w14:textId="77777777" w:rsidR="00312A95" w:rsidRDefault="00000000">
          <w:pPr>
            <w:pBdr>
              <w:top w:val="nil"/>
              <w:left w:val="nil"/>
              <w:bottom w:val="nil"/>
              <w:right w:val="nil"/>
              <w:between w:val="nil"/>
            </w:pBdr>
            <w:rPr>
              <w:color w:val="000000"/>
            </w:rPr>
          </w:pPr>
          <w:r>
            <w:rPr>
              <w:noProof/>
            </w:rPr>
            <w:drawing>
              <wp:anchor distT="0" distB="0" distL="0" distR="0" simplePos="0" relativeHeight="251658240" behindDoc="1" locked="0" layoutInCell="1" hidden="0" allowOverlap="1" wp14:anchorId="408216F5" wp14:editId="59B77A9C">
                <wp:simplePos x="0" y="0"/>
                <wp:positionH relativeFrom="column">
                  <wp:posOffset>0</wp:posOffset>
                </wp:positionH>
                <wp:positionV relativeFrom="paragraph">
                  <wp:posOffset>0</wp:posOffset>
                </wp:positionV>
                <wp:extent cx="387350" cy="3239135"/>
                <wp:effectExtent l="0" t="0" r="0" b="0"/>
                <wp:wrapNone/>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87350" cy="3239135"/>
                        </a:xfrm>
                        <a:prstGeom prst="rect">
                          <a:avLst/>
                        </a:prstGeom>
                        <a:ln/>
                      </pic:spPr>
                    </pic:pic>
                  </a:graphicData>
                </a:graphic>
              </wp:anchor>
            </w:drawing>
          </w:r>
        </w:p>
      </w:tc>
    </w:tr>
  </w:tbl>
  <w:p w14:paraId="75FB7F87" w14:textId="77777777" w:rsidR="00312A95" w:rsidRDefault="00000000">
    <w:pPr>
      <w:pBdr>
        <w:top w:val="nil"/>
        <w:left w:val="nil"/>
        <w:bottom w:val="nil"/>
        <w:right w:val="nil"/>
        <w:between w:val="nil"/>
      </w:pBdr>
      <w:rPr>
        <w:color w:val="000000"/>
      </w:rPr>
    </w:pPr>
    <w:r>
      <w:rPr>
        <w:noProof/>
        <w:color w:val="000000"/>
      </w:rPr>
      <w:drawing>
        <wp:anchor distT="0" distB="0" distL="0" distR="0" simplePos="0" relativeHeight="251659264" behindDoc="1" locked="0" layoutInCell="1" hidden="0" allowOverlap="1" wp14:anchorId="6EE7A90E" wp14:editId="484D7DFD">
          <wp:simplePos x="0" y="0"/>
          <wp:positionH relativeFrom="leftMargin">
            <wp:posOffset>3670934</wp:posOffset>
          </wp:positionH>
          <wp:positionV relativeFrom="topMargin">
            <wp:posOffset>-1340478</wp:posOffset>
          </wp:positionV>
          <wp:extent cx="1657985" cy="464185"/>
          <wp:effectExtent l="0" t="0" r="0" b="0"/>
          <wp:wrapNone/>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657985" cy="4641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95"/>
    <w:rsid w:val="00216C68"/>
    <w:rsid w:val="002D3D7B"/>
    <w:rsid w:val="00310964"/>
    <w:rsid w:val="00312A95"/>
    <w:rsid w:val="004F7D64"/>
    <w:rsid w:val="005356C3"/>
    <w:rsid w:val="005554F2"/>
    <w:rsid w:val="00641428"/>
    <w:rsid w:val="00642805"/>
    <w:rsid w:val="006E630F"/>
    <w:rsid w:val="008C7C49"/>
    <w:rsid w:val="00F57C43"/>
    <w:rsid w:val="00F85C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8F49"/>
  <w15:docId w15:val="{892E3F97-98E5-49CD-A6BF-37217622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uiPriority w:val="9"/>
    <w:qFormat/>
    <w:rsid w:val="008C1874"/>
    <w:pPr>
      <w:keepNext/>
      <w:keepLines/>
      <w:spacing w:before="480" w:after="120"/>
      <w:outlineLvl w:val="0"/>
    </w:pPr>
    <w:rPr>
      <w:b/>
      <w:sz w:val="48"/>
      <w:szCs w:val="48"/>
    </w:rPr>
  </w:style>
  <w:style w:type="paragraph" w:styleId="Ttulo2">
    <w:name w:val="heading 2"/>
    <w:basedOn w:val="Normal1"/>
    <w:next w:val="Normal1"/>
    <w:uiPriority w:val="9"/>
    <w:semiHidden/>
    <w:unhideWhenUsed/>
    <w:qFormat/>
    <w:rsid w:val="008C1874"/>
    <w:pPr>
      <w:keepNext/>
      <w:keepLines/>
      <w:spacing w:before="360" w:after="80"/>
      <w:outlineLvl w:val="1"/>
    </w:pPr>
    <w:rPr>
      <w:b/>
      <w:sz w:val="36"/>
      <w:szCs w:val="36"/>
    </w:rPr>
  </w:style>
  <w:style w:type="paragraph" w:styleId="Ttulo3">
    <w:name w:val="heading 3"/>
    <w:basedOn w:val="Normal1"/>
    <w:next w:val="Normal1"/>
    <w:uiPriority w:val="9"/>
    <w:semiHidden/>
    <w:unhideWhenUsed/>
    <w:qFormat/>
    <w:rsid w:val="008C1874"/>
    <w:pPr>
      <w:keepNext/>
      <w:keepLines/>
      <w:spacing w:before="280" w:after="80"/>
      <w:outlineLvl w:val="2"/>
    </w:pPr>
    <w:rPr>
      <w:b/>
      <w:sz w:val="28"/>
      <w:szCs w:val="28"/>
    </w:rPr>
  </w:style>
  <w:style w:type="paragraph" w:styleId="Ttulo4">
    <w:name w:val="heading 4"/>
    <w:basedOn w:val="Normal1"/>
    <w:next w:val="Normal1"/>
    <w:uiPriority w:val="9"/>
    <w:semiHidden/>
    <w:unhideWhenUsed/>
    <w:qFormat/>
    <w:rsid w:val="008C1874"/>
    <w:pPr>
      <w:keepNext/>
      <w:keepLines/>
      <w:spacing w:before="240" w:after="40"/>
      <w:outlineLvl w:val="3"/>
    </w:pPr>
    <w:rPr>
      <w:b/>
      <w:sz w:val="24"/>
      <w:szCs w:val="24"/>
    </w:rPr>
  </w:style>
  <w:style w:type="paragraph" w:styleId="Ttulo5">
    <w:name w:val="heading 5"/>
    <w:basedOn w:val="Normal1"/>
    <w:next w:val="Normal1"/>
    <w:uiPriority w:val="9"/>
    <w:semiHidden/>
    <w:unhideWhenUsed/>
    <w:qFormat/>
    <w:rsid w:val="008C1874"/>
    <w:pPr>
      <w:keepNext/>
      <w:keepLines/>
      <w:spacing w:before="220" w:after="40"/>
      <w:outlineLvl w:val="4"/>
    </w:pPr>
    <w:rPr>
      <w:b/>
      <w:sz w:val="22"/>
      <w:szCs w:val="22"/>
    </w:rPr>
  </w:style>
  <w:style w:type="paragraph" w:styleId="Ttulo6">
    <w:name w:val="heading 6"/>
    <w:basedOn w:val="Normal1"/>
    <w:next w:val="Normal1"/>
    <w:uiPriority w:val="9"/>
    <w:semiHidden/>
    <w:unhideWhenUsed/>
    <w:qFormat/>
    <w:rsid w:val="008C187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rsid w:val="008C187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Normal1">
    <w:name w:val="Normal1"/>
    <w:rsid w:val="008C1874"/>
  </w:style>
  <w:style w:type="table" w:customStyle="1" w:styleId="TableNormal5">
    <w:name w:val="Table Normal"/>
    <w:rsid w:val="008C1874"/>
    <w:tblPr>
      <w:tblCellMar>
        <w:top w:w="0" w:type="dxa"/>
        <w:left w:w="0" w:type="dxa"/>
        <w:bottom w:w="0" w:type="dxa"/>
        <w:right w:w="0" w:type="dxa"/>
      </w:tblCellMar>
    </w:tbl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rsid w:val="008C1874"/>
    <w:tblPr>
      <w:tblStyleRowBandSize w:val="1"/>
      <w:tblStyleColBandSize w:val="1"/>
    </w:tblPr>
  </w:style>
  <w:style w:type="table" w:customStyle="1" w:styleId="a0">
    <w:basedOn w:val="TableNormal5"/>
    <w:rsid w:val="008C1874"/>
    <w:tblPr>
      <w:tblStyleRowBandSize w:val="1"/>
      <w:tblStyleColBandSize w:val="1"/>
    </w:tblPr>
  </w:style>
  <w:style w:type="paragraph" w:styleId="Textodeglobo">
    <w:name w:val="Balloon Text"/>
    <w:basedOn w:val="Normal"/>
    <w:link w:val="TextodegloboCar"/>
    <w:uiPriority w:val="99"/>
    <w:semiHidden/>
    <w:unhideWhenUsed/>
    <w:rsid w:val="001D0ADF"/>
    <w:rPr>
      <w:rFonts w:ascii="Tahoma" w:hAnsi="Tahoma" w:cs="Tahoma"/>
      <w:sz w:val="16"/>
      <w:szCs w:val="16"/>
    </w:rPr>
  </w:style>
  <w:style w:type="character" w:customStyle="1" w:styleId="TextodegloboCar">
    <w:name w:val="Texto de globo Car"/>
    <w:basedOn w:val="Fuentedeprrafopredeter"/>
    <w:link w:val="Textodeglobo"/>
    <w:uiPriority w:val="99"/>
    <w:semiHidden/>
    <w:rsid w:val="001D0ADF"/>
    <w:rPr>
      <w:rFonts w:ascii="Tahoma" w:hAnsi="Tahoma" w:cs="Tahoma"/>
      <w:sz w:val="16"/>
      <w:szCs w:val="16"/>
    </w:r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table" w:customStyle="1" w:styleId="a3">
    <w:basedOn w:val="TableNormal5"/>
    <w:tblPr>
      <w:tblStyleRowBandSize w:val="1"/>
      <w:tblStyleColBandSize w:val="1"/>
    </w:tblPr>
  </w:style>
  <w:style w:type="table" w:customStyle="1" w:styleId="a4">
    <w:basedOn w:val="TableNormal5"/>
    <w:tblPr>
      <w:tblStyleRowBandSize w:val="1"/>
      <w:tblStyleColBandSize w:val="1"/>
    </w:tblPr>
  </w:style>
  <w:style w:type="table" w:customStyle="1" w:styleId="a5">
    <w:basedOn w:val="TableNormal5"/>
    <w:tblPr>
      <w:tblStyleRowBandSize w:val="1"/>
      <w:tblStyleColBandSize w:val="1"/>
    </w:tblPr>
  </w:style>
  <w:style w:type="table" w:customStyle="1" w:styleId="a6">
    <w:basedOn w:val="TableNormal5"/>
    <w:tblPr>
      <w:tblStyleRowBandSize w:val="1"/>
      <w:tblStyleColBandSize w:val="1"/>
    </w:tblPr>
  </w:style>
  <w:style w:type="table" w:customStyle="1" w:styleId="a7">
    <w:basedOn w:val="TableNormal5"/>
    <w:tblPr>
      <w:tblStyleRowBandSize w:val="1"/>
      <w:tblStyleColBandSize w:val="1"/>
    </w:tblPr>
  </w:style>
  <w:style w:type="table" w:customStyle="1" w:styleId="a8">
    <w:basedOn w:val="TableNormal5"/>
    <w:tblPr>
      <w:tblStyleRowBandSize w:val="1"/>
      <w:tblStyleColBandSize w:val="1"/>
    </w:tblPr>
  </w:style>
  <w:style w:type="table" w:customStyle="1" w:styleId="a9">
    <w:basedOn w:val="TableNormal5"/>
    <w:tblPr>
      <w:tblStyleRowBandSize w:val="1"/>
      <w:tblStyleColBandSize w:val="1"/>
    </w:tblPr>
  </w:style>
  <w:style w:type="table" w:customStyle="1" w:styleId="aa">
    <w:basedOn w:val="TableNormal5"/>
    <w:tblPr>
      <w:tblStyleRowBandSize w:val="1"/>
      <w:tblStyleColBandSize w:val="1"/>
    </w:tblPr>
  </w:style>
  <w:style w:type="table" w:customStyle="1" w:styleId="ab">
    <w:basedOn w:val="TableNormal5"/>
    <w:tblPr>
      <w:tblStyleRowBandSize w:val="1"/>
      <w:tblStyleColBandSize w:val="1"/>
    </w:tblPr>
  </w:style>
  <w:style w:type="table" w:customStyle="1" w:styleId="ac">
    <w:basedOn w:val="TableNormal5"/>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vecogroup.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w4CdUMs59QxGHET8aC9BKfbvsA==">AMUW2mWScBOrO2LuL2bCNXLBdvBBkNb7RoBdSryeQQzs7Hf2ThMj3mCFpG53DP0/0M9mZREXiB0U1nDaO5P57D/LmUx+5k8HypF7P8o4Y68qL3IVNYEl6R4=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799</Words>
  <Characters>4395</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dc:creator>
  <cp:lastModifiedBy>Melina Levy</cp:lastModifiedBy>
  <cp:revision>10</cp:revision>
  <dcterms:created xsi:type="dcterms:W3CDTF">2022-07-18T21:00:00Z</dcterms:created>
  <dcterms:modified xsi:type="dcterms:W3CDTF">2023-02-13T12:21:00Z</dcterms:modified>
</cp:coreProperties>
</file>